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4058" w14:textId="77777777" w:rsidR="006B5E70" w:rsidRPr="006B5E70" w:rsidRDefault="006B5E70" w:rsidP="00EE34D8">
      <w:pPr>
        <w:autoSpaceDE w:val="0"/>
        <w:autoSpaceDN w:val="0"/>
        <w:adjustRightInd w:val="0"/>
        <w:spacing w:before="180" w:after="0" w:line="276" w:lineRule="auto"/>
        <w:jc w:val="center"/>
        <w:textAlignment w:val="center"/>
        <w:rPr>
          <w:rFonts w:ascii="Arial" w:hAnsi="Arial" w:cs="Arial"/>
          <w:color w:val="000000"/>
          <w:sz w:val="28"/>
          <w:szCs w:val="28"/>
        </w:rPr>
      </w:pPr>
      <w:r w:rsidRPr="006B5E70">
        <w:rPr>
          <w:rFonts w:ascii="Arial" w:hAnsi="Arial" w:cs="Arial"/>
          <w:color w:val="000000"/>
          <w:sz w:val="28"/>
          <w:szCs w:val="28"/>
        </w:rPr>
        <w:t xml:space="preserve">Partner Agencies of the </w:t>
      </w:r>
      <w:r w:rsidRPr="006B5E70">
        <w:rPr>
          <w:rFonts w:ascii="Arial" w:hAnsi="Arial" w:cs="Arial"/>
          <w:color w:val="000000"/>
          <w:spacing w:val="-15"/>
          <w:sz w:val="28"/>
          <w:szCs w:val="28"/>
        </w:rPr>
        <w:t>______________</w:t>
      </w:r>
      <w:r w:rsidRPr="006B5E70">
        <w:rPr>
          <w:rFonts w:ascii="Arial" w:hAnsi="Arial" w:cs="Arial"/>
          <w:color w:val="000000"/>
          <w:sz w:val="28"/>
          <w:szCs w:val="28"/>
        </w:rPr>
        <w:t xml:space="preserve"> Treatment Court</w:t>
      </w:r>
    </w:p>
    <w:p w14:paraId="072945D8" w14:textId="77777777" w:rsidR="006B5E70" w:rsidRPr="006B5E70" w:rsidRDefault="006B5E70" w:rsidP="00EE34D8">
      <w:pPr>
        <w:autoSpaceDE w:val="0"/>
        <w:autoSpaceDN w:val="0"/>
        <w:adjustRightInd w:val="0"/>
        <w:spacing w:after="0" w:line="276" w:lineRule="auto"/>
        <w:jc w:val="center"/>
        <w:textAlignment w:val="center"/>
        <w:rPr>
          <w:rFonts w:ascii="Arial" w:hAnsi="Arial" w:cs="Arial"/>
          <w:b/>
          <w:bCs/>
          <w:caps/>
          <w:color w:val="000000"/>
          <w:sz w:val="36"/>
          <w:szCs w:val="36"/>
        </w:rPr>
      </w:pPr>
      <w:r w:rsidRPr="006B5E70">
        <w:rPr>
          <w:rFonts w:ascii="Arial" w:hAnsi="Arial" w:cs="Arial"/>
          <w:b/>
          <w:bCs/>
          <w:caps/>
          <w:color w:val="000000"/>
          <w:sz w:val="36"/>
          <w:szCs w:val="36"/>
        </w:rPr>
        <w:t xml:space="preserve">Memorandum of Understanding </w:t>
      </w:r>
    </w:p>
    <w:p w14:paraId="556919BA" w14:textId="77777777" w:rsidR="006B5E70" w:rsidRPr="006B5E70" w:rsidRDefault="006B5E70" w:rsidP="00EE34D8">
      <w:pPr>
        <w:autoSpaceDE w:val="0"/>
        <w:autoSpaceDN w:val="0"/>
        <w:adjustRightInd w:val="0"/>
        <w:spacing w:after="0" w:line="276" w:lineRule="auto"/>
        <w:jc w:val="center"/>
        <w:textAlignment w:val="center"/>
        <w:rPr>
          <w:rFonts w:ascii="Arial" w:hAnsi="Arial" w:cs="Arial"/>
          <w:b/>
          <w:bCs/>
          <w:color w:val="000000"/>
          <w:sz w:val="28"/>
          <w:szCs w:val="28"/>
        </w:rPr>
      </w:pPr>
      <w:r w:rsidRPr="006B5E70">
        <w:rPr>
          <w:rFonts w:ascii="Arial" w:hAnsi="Arial" w:cs="Arial"/>
          <w:color w:val="000000"/>
          <w:sz w:val="28"/>
          <w:szCs w:val="28"/>
        </w:rPr>
        <w:t>Governing the Use of Medications for Opioid Use Disorder</w:t>
      </w:r>
    </w:p>
    <w:p w14:paraId="3C0CDF7E" w14:textId="77777777" w:rsidR="006B5E70" w:rsidRPr="006B5E70" w:rsidRDefault="006B5E70" w:rsidP="006B5E70">
      <w:pPr>
        <w:autoSpaceDE w:val="0"/>
        <w:autoSpaceDN w:val="0"/>
        <w:adjustRightInd w:val="0"/>
        <w:spacing w:before="180" w:after="0" w:line="260" w:lineRule="atLeast"/>
        <w:textAlignment w:val="center"/>
        <w:rPr>
          <w:rFonts w:ascii="Georgia" w:hAnsi="Georgia" w:cs="Georgia"/>
          <w:color w:val="000000"/>
          <w:sz w:val="20"/>
          <w:szCs w:val="20"/>
        </w:rPr>
      </w:pPr>
    </w:p>
    <w:p w14:paraId="54E6C654" w14:textId="77777777" w:rsidR="006B5E70" w:rsidRPr="006B5E70" w:rsidRDefault="006B5E70" w:rsidP="006B5E70">
      <w:pPr>
        <w:tabs>
          <w:tab w:val="left" w:pos="360"/>
        </w:tabs>
        <w:autoSpaceDE w:val="0"/>
        <w:autoSpaceDN w:val="0"/>
        <w:adjustRightInd w:val="0"/>
        <w:spacing w:before="18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I.</w:t>
      </w:r>
      <w:r w:rsidRPr="006B5E70">
        <w:rPr>
          <w:rFonts w:ascii="Georgia" w:hAnsi="Georgia" w:cs="Georgia"/>
          <w:b/>
          <w:bCs/>
          <w:color w:val="000000"/>
          <w:sz w:val="20"/>
          <w:szCs w:val="20"/>
        </w:rPr>
        <w:tab/>
        <w:t>Access to Medications for Opioid Use Disorder</w:t>
      </w:r>
    </w:p>
    <w:p w14:paraId="34537163" w14:textId="77777777" w:rsidR="006B5E70" w:rsidRPr="00AB0B09" w:rsidRDefault="006B5E70" w:rsidP="007A79CD">
      <w:pPr>
        <w:pStyle w:val="ListParagraph"/>
        <w:numPr>
          <w:ilvl w:val="0"/>
          <w:numId w:val="1"/>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 xml:space="preserve">The </w:t>
      </w:r>
      <w:r w:rsidRPr="00AB0B09">
        <w:rPr>
          <w:rFonts w:ascii="Georgia" w:hAnsi="Georgia" w:cs="Georgia"/>
          <w:color w:val="000000"/>
          <w:spacing w:val="-15"/>
          <w:sz w:val="20"/>
          <w:szCs w:val="20"/>
        </w:rPr>
        <w:t>_______________</w:t>
      </w:r>
      <w:r w:rsidRPr="00AB0B09">
        <w:rPr>
          <w:rFonts w:ascii="Georgia" w:hAnsi="Georgia" w:cs="Georgia"/>
          <w:color w:val="000000"/>
          <w:sz w:val="20"/>
          <w:szCs w:val="20"/>
        </w:rPr>
        <w:t xml:space="preserve"> Treatment Court is committed to providing safe and effective treatments for substance use disorders while safeguarding participant welfare, public safety, and the fair administration of justice.  </w:t>
      </w:r>
    </w:p>
    <w:p w14:paraId="0031B9E3" w14:textId="4A49A7BF" w:rsidR="006B5E70" w:rsidRPr="00AB0B09" w:rsidRDefault="006B5E70" w:rsidP="007A79CD">
      <w:pPr>
        <w:pStyle w:val="ListParagraph"/>
        <w:numPr>
          <w:ilvl w:val="0"/>
          <w:numId w:val="1"/>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 xml:space="preserve">Medications for opioid use disorder (MOUD), including methadone, buprenorphine (e.g., Suboxone, Subutex), and naltrexone (e.g., </w:t>
      </w:r>
      <w:proofErr w:type="spellStart"/>
      <w:r w:rsidRPr="00AB0B09">
        <w:rPr>
          <w:rFonts w:ascii="Georgia" w:hAnsi="Georgia" w:cs="Georgia"/>
          <w:color w:val="000000"/>
          <w:sz w:val="20"/>
          <w:szCs w:val="20"/>
        </w:rPr>
        <w:t>Revia</w:t>
      </w:r>
      <w:proofErr w:type="spellEnd"/>
      <w:r w:rsidRPr="00AB0B09">
        <w:rPr>
          <w:rFonts w:ascii="Georgia" w:hAnsi="Georgia" w:cs="Georgia"/>
          <w:color w:val="000000"/>
          <w:sz w:val="20"/>
          <w:szCs w:val="20"/>
        </w:rPr>
        <w:t>, Vivitrol) [INSERT EXAMPLES OF OTHER BRAND NAMES USED IN THE PROGRAM, SUCH AS ZUBSOLV OR SUBLOCADE, IF DESIRED], in combination with counseling and social services, are demonstrated to improve outcomes for persons with opioid use disorders involved in the criminal justice system. Proven benefits include increasing treatment attendance and reducing illicit opioid use, overdose risk, and new drug-related arrests and technical violations.</w:t>
      </w:r>
      <w:r w:rsidR="00AB0B09">
        <w:rPr>
          <w:rStyle w:val="FootnoteReference"/>
          <w:rFonts w:ascii="Georgia" w:hAnsi="Georgia" w:cs="Georgia"/>
          <w:color w:val="000000"/>
          <w:sz w:val="20"/>
          <w:szCs w:val="20"/>
        </w:rPr>
        <w:footnoteReference w:id="1"/>
      </w:r>
      <w:r w:rsidRPr="00AB0B09">
        <w:rPr>
          <w:rFonts w:ascii="Georgia" w:hAnsi="Georgia" w:cs="Georgia"/>
          <w:color w:val="000000"/>
          <w:sz w:val="20"/>
          <w:szCs w:val="20"/>
        </w:rPr>
        <w:t xml:space="preserve"> </w:t>
      </w:r>
    </w:p>
    <w:p w14:paraId="0EB4E18E" w14:textId="77777777" w:rsidR="006B5E70" w:rsidRPr="00AB0B09" w:rsidRDefault="006B5E70" w:rsidP="007A79CD">
      <w:pPr>
        <w:pStyle w:val="ListParagraph"/>
        <w:numPr>
          <w:ilvl w:val="0"/>
          <w:numId w:val="1"/>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Participants in the treatment court are permitted to receive MOUD when prescribed lawfully by a licensed physician or other legally authorized medical provider in the state or territory, such as a nurse practitioner or physician’s assistant, who has received the requisite training and credentials to prescribe the medication, has personally examined the participant, and will continue to monitor treatment progress and safety.</w:t>
      </w:r>
    </w:p>
    <w:p w14:paraId="4C3DBEE2" w14:textId="77777777" w:rsidR="006B5E70" w:rsidRPr="00AB0B09" w:rsidRDefault="006B5E70" w:rsidP="007A79CD">
      <w:pPr>
        <w:pStyle w:val="ListParagraph"/>
        <w:numPr>
          <w:ilvl w:val="0"/>
          <w:numId w:val="1"/>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Participants are not required to change medications, reduce the medication dosage, or discontinue MOUD as a condition of entering or graduating successfully from the treatment court. Participants receiving MOUD are eligible for the same services in the program as other participants and earn the same legal and other benefits of graduation.</w:t>
      </w:r>
    </w:p>
    <w:p w14:paraId="77D0B215" w14:textId="77777777" w:rsidR="006B5E70" w:rsidRPr="00AB0B09" w:rsidRDefault="006B5E70" w:rsidP="007A79CD">
      <w:pPr>
        <w:pStyle w:val="ListParagraph"/>
        <w:numPr>
          <w:ilvl w:val="0"/>
          <w:numId w:val="1"/>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Nothing in this Agreement requires the treatment court to provide MOUD or a particular medication if qualified providers or sufficient funding are not reasonably available to the program. The treatment court team will make all reasonable efforts to identify competent and qualified MOUD practitioners in the local community and obtain funding to support administration of MOUD and related services (see Section IX).</w:t>
      </w:r>
    </w:p>
    <w:p w14:paraId="1C4CB4B6"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II.</w:t>
      </w:r>
      <w:r w:rsidRPr="006B5E70">
        <w:rPr>
          <w:rFonts w:ascii="Georgia" w:hAnsi="Georgia" w:cs="Georgia"/>
          <w:b/>
          <w:bCs/>
          <w:color w:val="000000"/>
          <w:sz w:val="20"/>
          <w:szCs w:val="20"/>
        </w:rPr>
        <w:tab/>
        <w:t xml:space="preserve">Choice and Dosage of Medication </w:t>
      </w:r>
    </w:p>
    <w:p w14:paraId="45BD5EF1" w14:textId="77777777" w:rsidR="006B5E70" w:rsidRPr="00AB0B09" w:rsidRDefault="006B5E70" w:rsidP="00AB0B09">
      <w:pPr>
        <w:pStyle w:val="ListParagraph"/>
        <w:numPr>
          <w:ilvl w:val="0"/>
          <w:numId w:val="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 xml:space="preserve">Some medications have risks for more serious side effects than other medications but may have a greater chance of being effective for a particular individual. Weighing the potential benefits and risks of different medications and deciding which medication to prescribe for a given person are medical decisions to be made by a trained and lawfully credentialed medical provider in consultation with the participant. Nonmedically-trained members of the treatment court team do not make these medical decisions.  </w:t>
      </w:r>
    </w:p>
    <w:p w14:paraId="0CF01F91" w14:textId="77777777" w:rsidR="006B5E70" w:rsidRPr="00AB0B09" w:rsidRDefault="006B5E70" w:rsidP="00AB0B09">
      <w:pPr>
        <w:pStyle w:val="ListParagraph"/>
        <w:numPr>
          <w:ilvl w:val="0"/>
          <w:numId w:val="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AB0B09">
        <w:rPr>
          <w:rFonts w:ascii="Georgia" w:hAnsi="Georgia" w:cs="Georgia"/>
          <w:color w:val="000000"/>
          <w:sz w:val="20"/>
          <w:szCs w:val="20"/>
        </w:rPr>
        <w:t xml:space="preserve">Selecting the proper medication dosage and deciding whether to reduce the dosage or discontinue the medication are medical decisions to be made by a trained and lawfully credentialed medical provider in </w:t>
      </w:r>
      <w:r w:rsidRPr="00AB0B09">
        <w:rPr>
          <w:rFonts w:ascii="Georgia" w:hAnsi="Georgia" w:cs="Georgia"/>
          <w:color w:val="000000"/>
          <w:sz w:val="20"/>
          <w:szCs w:val="20"/>
        </w:rPr>
        <w:lastRenderedPageBreak/>
        <w:t xml:space="preserve">consultation with the participant. Nonmedically-trained members of the treatment court team do not make these medical decisions. </w:t>
      </w:r>
    </w:p>
    <w:p w14:paraId="72F7B33F"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III.</w:t>
      </w:r>
      <w:r w:rsidRPr="006B5E70">
        <w:rPr>
          <w:rFonts w:ascii="Georgia" w:hAnsi="Georgia" w:cs="Georgia"/>
          <w:b/>
          <w:bCs/>
          <w:color w:val="000000"/>
          <w:sz w:val="20"/>
          <w:szCs w:val="20"/>
        </w:rPr>
        <w:tab/>
        <w:t>Choice of Medical Providers</w:t>
      </w:r>
    </w:p>
    <w:p w14:paraId="23A47339" w14:textId="77777777" w:rsidR="006B5E70" w:rsidRPr="00CE6288" w:rsidRDefault="006B5E70" w:rsidP="00CE6288">
      <w:pPr>
        <w:pStyle w:val="ListParagraph"/>
        <w:numPr>
          <w:ilvl w:val="0"/>
          <w:numId w:val="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The treatment court team will make all reasonable efforts to identify and maintain a list of preapproved physicians and other lawfully qualified medical providers who have worked effectively with the treatment court or are recognized as delivering safe and competent treatment. Participants may select providers from this list for evaluation and treatment with MOUD. Preapproved providers must acknowledge and adhere to the responsibilities described below in Section VII for working with the treatment court.</w:t>
      </w:r>
    </w:p>
    <w:p w14:paraId="76E50495" w14:textId="77777777" w:rsidR="006B5E70" w:rsidRPr="00CE6288" w:rsidRDefault="006B5E70" w:rsidP="00CE6288">
      <w:pPr>
        <w:pStyle w:val="ListParagraph"/>
        <w:numPr>
          <w:ilvl w:val="0"/>
          <w:numId w:val="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Participants may choose other lawfully qualified physicians or medical providers not on the preapproved list but must provide their contact information to the treatment court team and sign all required releases of information allowing the team to communicate freely with the provider about the participant’s treatment plan and progress in treatment. The provider must acknowledge and adhere to the responsibilities described below in Section VII for working with the treatment court.</w:t>
      </w:r>
    </w:p>
    <w:p w14:paraId="4AEDAEC8" w14:textId="77777777" w:rsidR="006B5E70" w:rsidRPr="00CE6288" w:rsidRDefault="006B5E70" w:rsidP="00CE6288">
      <w:pPr>
        <w:pStyle w:val="ListParagraph"/>
        <w:numPr>
          <w:ilvl w:val="0"/>
          <w:numId w:val="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Participants who have already received a lawful prescription for MOUD prior to entering the treatment court must inform the treatment court team about the prescription as soon as practicable but no later than the date of entry into the program. The participant must provide contact information for the prescribing medical provider and sign all required releases of information allowing the treatment court team to communicate freely with the provider about the participant’s treatment plan and progress in treatment. The provider must acknowledge and adhere to the responsibilities described below in Section VII. </w:t>
      </w:r>
    </w:p>
    <w:p w14:paraId="1B5702CE" w14:textId="77777777" w:rsidR="006B5E70" w:rsidRPr="00CE6288" w:rsidRDefault="006B5E70" w:rsidP="00CE6288">
      <w:pPr>
        <w:pStyle w:val="ListParagraph"/>
        <w:numPr>
          <w:ilvl w:val="0"/>
          <w:numId w:val="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Lawfully qualified medical providers are presumed to be competent to treat patients safely and effectively. If, however, the treatment court team has substantial cause to be concerned about the safety or competence of medical care being proposed or provided, the team may request a new evaluation, or second opinion based on a review of the participant’s medical record, from another qualified medical provider. In such instances, the team will explain the reason(s) for requesting a second opinion to the participant. Participants will only be required to select a new medical provider or transfer to a new provider for their care if the judge finds, based on expert medical evidence, that the proposed course of treatment falls below the generally recognized medical standard of care in the medical community or poses an undue risk to the participant’s welfare.  </w:t>
      </w:r>
    </w:p>
    <w:p w14:paraId="74134BA2"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IV.</w:t>
      </w:r>
      <w:r w:rsidRPr="006B5E70">
        <w:rPr>
          <w:rFonts w:ascii="Georgia" w:hAnsi="Georgia" w:cs="Georgia"/>
          <w:b/>
          <w:bCs/>
          <w:color w:val="000000"/>
          <w:sz w:val="20"/>
          <w:szCs w:val="20"/>
        </w:rPr>
        <w:tab/>
        <w:t>Screening and Evaluation for Opioid Use Disorder and Indications for MOUD</w:t>
      </w:r>
    </w:p>
    <w:p w14:paraId="23498BE6" w14:textId="77777777" w:rsidR="006B5E70" w:rsidRPr="00CE6288" w:rsidRDefault="006B5E70" w:rsidP="00CE6288">
      <w:pPr>
        <w:pStyle w:val="ListParagraph"/>
        <w:numPr>
          <w:ilvl w:val="0"/>
          <w:numId w:val="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All participants entering the treatment court will be screened during intake for possible indications for MOUD using a validated screening tool, clinical interview, and review of prior medical records, if any, by a clinically trained and credentialed treatment professional. The screening will assess whether the participant has a moderate to severe opioid use disorder and is at risk for serious repercussions from this disorder, such as overdose, treatment attrition, or nonresponse to treatment without MOUD. Participants screening positive will be referred to a qualified physician or other medical provider for a comprehensive medical evaluation of their suitability for MOUD and to develop a treatment plan. Participants may be re-screened at any time during their enrollment in the treatment court if their clinical presentation changes or staff become aware of new information suggesting a potential need for MOUD.</w:t>
      </w:r>
    </w:p>
    <w:p w14:paraId="5788CEBF" w14:textId="77777777" w:rsidR="006B5E70" w:rsidRPr="00CE6288" w:rsidRDefault="006B5E70" w:rsidP="00CE6288">
      <w:pPr>
        <w:pStyle w:val="ListParagraph"/>
        <w:numPr>
          <w:ilvl w:val="0"/>
          <w:numId w:val="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Results from the screening, comprehensive medical evaluation, and recommended treatment plan will be submitted to the treatment court team for approval. Approval will ordinarily be granted unless the judge finds, based on expert medical evidence from another qualified medical provider, that the evaluation or proposed treatment plan falls below the generally recognized medical standard of care in the medical community or poses an undue risk to the participant’s welfare. In such cases, the participant will be referred to another qualified medical provider for a new evaluation or second medical opinion.</w:t>
      </w:r>
    </w:p>
    <w:p w14:paraId="36704736" w14:textId="77777777" w:rsidR="006B5E70" w:rsidRPr="00CE6288" w:rsidRDefault="006B5E70" w:rsidP="00CE6288">
      <w:pPr>
        <w:pStyle w:val="ListParagraph"/>
        <w:numPr>
          <w:ilvl w:val="0"/>
          <w:numId w:val="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lastRenderedPageBreak/>
        <w:t xml:space="preserve">Information obtained while screening or evaluating participants for opioid use disorder and assessing their suitability for MOUD will be used solely to inform or adjust the treatment plan and other conditions of the treatment court, such as drug testing or other monitoring procedures or indicated complementary counseling </w:t>
      </w:r>
      <w:proofErr w:type="gramStart"/>
      <w:r w:rsidRPr="00CE6288">
        <w:rPr>
          <w:rFonts w:ascii="Georgia" w:hAnsi="Georgia" w:cs="Georgia"/>
          <w:color w:val="000000"/>
          <w:sz w:val="20"/>
          <w:szCs w:val="20"/>
        </w:rPr>
        <w:t>services, and</w:t>
      </w:r>
      <w:proofErr w:type="gramEnd"/>
      <w:r w:rsidRPr="00CE6288">
        <w:rPr>
          <w:rFonts w:ascii="Georgia" w:hAnsi="Georgia" w:cs="Georgia"/>
          <w:color w:val="000000"/>
          <w:sz w:val="20"/>
          <w:szCs w:val="20"/>
        </w:rPr>
        <w:t xml:space="preserve"> will not be admissible as evidence to substantiate or prosecute any new or prior criminal charge or technical violation of a court order. </w:t>
      </w:r>
    </w:p>
    <w:p w14:paraId="0C68A395"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V.</w:t>
      </w:r>
      <w:r w:rsidRPr="006B5E70">
        <w:rPr>
          <w:rFonts w:ascii="Georgia" w:hAnsi="Georgia" w:cs="Georgia"/>
          <w:b/>
          <w:bCs/>
          <w:color w:val="000000"/>
          <w:sz w:val="20"/>
          <w:szCs w:val="20"/>
        </w:rPr>
        <w:tab/>
        <w:t>Informed Consent and Sharing of Information</w:t>
      </w:r>
    </w:p>
    <w:p w14:paraId="2558511D" w14:textId="77777777" w:rsidR="006B5E70" w:rsidRPr="00CE6288" w:rsidRDefault="006B5E70" w:rsidP="00CE6288">
      <w:pPr>
        <w:pStyle w:val="ListParagraph"/>
        <w:numPr>
          <w:ilvl w:val="0"/>
          <w:numId w:val="7"/>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Participants receiving MOUD or who are referred for evaluation for MOUD must sign all required releases of information necessary for the medical provider to communicate freely with the treatment court team about the recommended treatment plan and progress in treatment. The scope of disclosures will be limited to the minimum information necessary to ensure safe and effective use of MOUD, including but not limited to the following information:</w:t>
      </w:r>
    </w:p>
    <w:p w14:paraId="482C9209"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Assessment results pertaining to the participant’s diagnosis, treatment needs, and indications for MOUD or a particular medication</w:t>
      </w:r>
    </w:p>
    <w:p w14:paraId="70EB4E90"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Attendance at scheduled medical appointments</w:t>
      </w:r>
    </w:p>
    <w:p w14:paraId="0E31EEB7"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Adherence to the medication regimen, barriers to adherence, if any, and willful misuse of the medication</w:t>
      </w:r>
    </w:p>
    <w:p w14:paraId="2C9F9476"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Side effects, if any, from the medication and indicated responses to those side effects </w:t>
      </w:r>
    </w:p>
    <w:p w14:paraId="010F2C44"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Symptom improvement including changes in opioid cravings, withdrawal symptoms, and associated mental health symptoms such as depression, boredom, irritability, or anhedonia (loss of pleasure)</w:t>
      </w:r>
    </w:p>
    <w:p w14:paraId="3E21E56D"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Results from prescription drug monitoring program (PDMP) reports indicating whether the participant obtained any unauthorized prescription from another provider for a controlled addictive or intoxicating medication</w:t>
      </w:r>
    </w:p>
    <w:p w14:paraId="356B4D55"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Any efforts by the participant to tamper with or invalidate drug or alcohol tests if such tests are performed by the treating medical provider</w:t>
      </w:r>
    </w:p>
    <w:p w14:paraId="708286CC"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Evidence of treatment-related attitudinal improvements such as increased insight or motivation for change </w:t>
      </w:r>
    </w:p>
    <w:p w14:paraId="5A7A46E7" w14:textId="77777777" w:rsidR="006B5E70" w:rsidRPr="00CE6288" w:rsidRDefault="006B5E70" w:rsidP="00CE6288">
      <w:pPr>
        <w:pStyle w:val="ListParagraph"/>
        <w:numPr>
          <w:ilvl w:val="0"/>
          <w:numId w:val="8"/>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Any menacing, threatening, or disruptive behavior directed at the medical provider, other medical staff members, fellow patients, or other persons. </w:t>
      </w:r>
    </w:p>
    <w:p w14:paraId="1FFF036E"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VI.</w:t>
      </w:r>
      <w:r w:rsidRPr="006B5E70">
        <w:rPr>
          <w:rFonts w:ascii="Georgia" w:hAnsi="Georgia" w:cs="Georgia"/>
          <w:b/>
          <w:bCs/>
          <w:color w:val="000000"/>
          <w:sz w:val="20"/>
          <w:szCs w:val="20"/>
        </w:rPr>
        <w:tab/>
        <w:t>Misuse or Diversion of Medications</w:t>
      </w:r>
    </w:p>
    <w:p w14:paraId="153361F0" w14:textId="77777777"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The treatment court team will monitor participants to ensure that they are taking their medications as prescribed and not diverting them for unintended use. Safety and monitoring procedures that may be employed for such purposes include but are not limited to the following. These precautions will be imposed only when warranted to avoid foreseeable misuse of medications and will be discontinued when no longer necessary to avoid placing undue burdens on participants’ access to needed medications.</w:t>
      </w:r>
    </w:p>
    <w:p w14:paraId="6F40F8E5"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Requiring medication ingestion to be observed by medical staff, a treatment court staff member such as a clinical case manager or probation officer, or another approved individual such as a trustworthy family member of the participant</w:t>
      </w:r>
    </w:p>
    <w:p w14:paraId="2A9958B0"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pacing w:val="-4"/>
          <w:sz w:val="20"/>
          <w:szCs w:val="20"/>
        </w:rPr>
        <w:t>Observing medication ingestion using facial recognition, smartphone, or similar technology</w:t>
      </w:r>
    </w:p>
    <w:p w14:paraId="57EC1634"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Monitoring urine or other test specimens for the expected presence of medications or their metabolites </w:t>
      </w:r>
    </w:p>
    <w:p w14:paraId="171CA08F"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Conducting random pill counts </w:t>
      </w:r>
    </w:p>
    <w:p w14:paraId="4048555B"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Using medication event monitoring devices (MEMDs) that record when and how many pills were removed from the medication vial</w:t>
      </w:r>
    </w:p>
    <w:p w14:paraId="31FF61DF"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Using abuse-deterrence formulations of the medications if available and medically indicated, such as soluble sublingual films, liquid medication doses, or long-acting injections</w:t>
      </w:r>
    </w:p>
    <w:p w14:paraId="2D5A6B60" w14:textId="77777777" w:rsidR="006B5E70" w:rsidRPr="00CE6288" w:rsidRDefault="006B5E70" w:rsidP="00CE6288">
      <w:pPr>
        <w:pStyle w:val="ListParagraph"/>
        <w:numPr>
          <w:ilvl w:val="0"/>
          <w:numId w:val="10"/>
        </w:numPr>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lastRenderedPageBreak/>
        <w:t>Reviewing PDMP reports to ensure that participants are not obtaining unapproved prescriptions from other providers for controlled medications</w:t>
      </w:r>
    </w:p>
    <w:p w14:paraId="00D600AB" w14:textId="77777777"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Information obtained while monitoring participant compliance with MOUD, including drug test results and PDMP reports, will be used solely to inform or adjust the treatment plan and other conditions of the treatment court, and will not be used to substantiate or prosecute any new or prior criminal charge or technical violation of a court order. Nothing in this Agreement prevents law enforcement from prosecuting a participant for willful misuse or diversion of a prescribed medication while in the treatment court if discovered independently of treatment court procedures. </w:t>
      </w:r>
    </w:p>
    <w:p w14:paraId="2CE45BD7" w14:textId="4E0BDA12"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Punitive sanctions may be imposed pursuant to treatment court best practices</w:t>
      </w:r>
      <w:r w:rsidR="005D516F">
        <w:rPr>
          <w:rStyle w:val="FootnoteReference"/>
          <w:rFonts w:ascii="Georgia" w:hAnsi="Georgia" w:cs="Georgia"/>
          <w:color w:val="000000"/>
          <w:sz w:val="20"/>
          <w:szCs w:val="20"/>
        </w:rPr>
        <w:footnoteReference w:id="2"/>
      </w:r>
      <w:r w:rsidRPr="00CE6288">
        <w:rPr>
          <w:rFonts w:ascii="Georgia" w:hAnsi="Georgia" w:cs="Georgia"/>
          <w:color w:val="000000"/>
          <w:sz w:val="20"/>
          <w:szCs w:val="20"/>
        </w:rPr>
        <w:t xml:space="preserve"> for willful or proximal infractions relating to the misuse of prescription medications, such as ingesting more than the prescribed dosage to achieve an intoxicating effect, combining the medication with another illicit or unauthorized substance to achieve an intoxicating effect, or obtaining an unauthorized prescription for a controlled medication. Such sanctions will </w:t>
      </w:r>
      <w:r w:rsidRPr="00CE6288">
        <w:rPr>
          <w:rFonts w:ascii="Georgia" w:hAnsi="Georgia" w:cs="Georgia"/>
          <w:i/>
          <w:iCs/>
          <w:color w:val="000000"/>
          <w:sz w:val="20"/>
          <w:szCs w:val="20"/>
        </w:rPr>
        <w:t>not</w:t>
      </w:r>
      <w:r w:rsidRPr="00CE6288">
        <w:rPr>
          <w:rFonts w:ascii="Georgia" w:hAnsi="Georgia" w:cs="Georgia"/>
          <w:color w:val="000000"/>
          <w:sz w:val="20"/>
          <w:szCs w:val="20"/>
        </w:rPr>
        <w:t xml:space="preserve"> include discontinuation of the medication unless discontinuation is ordered by the treating medical provider or another qualified medical provider who has personally examined the participant and reviewed the medical record in the case.</w:t>
      </w:r>
    </w:p>
    <w:p w14:paraId="4FA41807" w14:textId="77777777"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Punitive sanctions will ordinarily not be imposed for continued use of illicit opioids until participants have reached a therapeutic dosage of the medication as determined by the prescribing medical provider and are no longer experiencing withdrawal symptoms, opioid cravings, or associated mental health symptoms such as depression or anhedonia. Prior to this level of clinical stabilization, the indicated response to continued illicit opioid use will ordinarily include adjustments to the medication regimen if medically indicated, addition of complementary counseling or monitoring services, person or place restrictions, curfews, or low-magnitude instructive assignments such as journaling exercises or daily activity scheduling.</w:t>
      </w:r>
    </w:p>
    <w:p w14:paraId="653AB07A" w14:textId="77777777"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Sharing or selling medication to another person poses a serious risk to public safety and other participants, is potentially a new criminal offense, and may result in arrest and/or discharge from the treatment court. Participants may be discharged from the treatment court if the judge finds that sharing prescription medication posed a substantial risk of harm to another person and is reasonably likely to be repeated. Nothing in this Agreement prevents law enforcement from prosecuting a participant for willful diversion of a prescribed medication to another individual while in the treatment court.</w:t>
      </w:r>
    </w:p>
    <w:p w14:paraId="17911815" w14:textId="77777777" w:rsidR="006B5E70" w:rsidRPr="00CE6288" w:rsidRDefault="006B5E70" w:rsidP="00CE6288">
      <w:pPr>
        <w:pStyle w:val="ListParagraph"/>
        <w:numPr>
          <w:ilvl w:val="0"/>
          <w:numId w:val="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E6288">
        <w:rPr>
          <w:rFonts w:ascii="Georgia" w:hAnsi="Georgia" w:cs="Georgia"/>
          <w:color w:val="000000"/>
          <w:sz w:val="20"/>
          <w:szCs w:val="20"/>
        </w:rPr>
        <w:t xml:space="preserve">Participants may, at times, receive jail sanctions (typically one to five days) in the treatment court for serious or repetitive proximal infractions, such as diverting medication for illicit use, violating curfew, violating person or place restrictions, or committing a new criminal offense. Every effort will be made to ensure that participants have uninterrupted access to prescribed medications while in custody. Medical providers may, for example, be asked to provide an extended prescription or medication dose to jail medical personnel and instructions for its use. Treatment court staff will make all reasonable efforts to avoid having jail sanctions interfere with medication regimens. </w:t>
      </w:r>
    </w:p>
    <w:p w14:paraId="3455965A"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VII.</w:t>
      </w:r>
      <w:r w:rsidRPr="006B5E70">
        <w:rPr>
          <w:rFonts w:ascii="Georgia" w:hAnsi="Georgia" w:cs="Georgia"/>
          <w:b/>
          <w:bCs/>
          <w:color w:val="000000"/>
          <w:sz w:val="20"/>
          <w:szCs w:val="20"/>
        </w:rPr>
        <w:tab/>
        <w:t>Responsibilities of Medical Providers</w:t>
      </w:r>
    </w:p>
    <w:p w14:paraId="5275C16D" w14:textId="77777777" w:rsidR="006B5E70" w:rsidRPr="00C5495D" w:rsidRDefault="006B5E70" w:rsidP="00C5495D">
      <w:pPr>
        <w:pStyle w:val="ListParagraph"/>
        <w:numPr>
          <w:ilvl w:val="0"/>
          <w:numId w:val="1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Physicians or other lawfully qualified medical providers prescribing MOUD for treatment court participants will sign and adhere to a memorandum of understanding agreeing to work collaboratively with the treatment court team, share pertinent information as necessary to coordinate participant care, and respond in a timely manner to questions and concerns about the treatment plan.</w:t>
      </w:r>
    </w:p>
    <w:p w14:paraId="0A8A5E6C" w14:textId="77777777" w:rsidR="006B5E70" w:rsidRPr="00C5495D" w:rsidRDefault="006B5E70" w:rsidP="00C5495D">
      <w:pPr>
        <w:pStyle w:val="ListParagraph"/>
        <w:numPr>
          <w:ilvl w:val="0"/>
          <w:numId w:val="1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lastRenderedPageBreak/>
        <w:t>The physician or medical provider will deliver a written treatment plan to the treatment court team documenting the participant’s opioid use disorder diagnosis, indications for MOUD or a particular medication, and rationale for the recommended treatment course. This information will help the treatment court team coordinate the participant’s care and know what symptoms, side effects, or other issues to be aware of and how to respond but will not be used to second-guess or discount the medical provider’s judgment. If the team has substantial cause for concern about the proposed treatment plan, it may obtain a new evaluation or second medical opinion from another qualified medical provider.</w:t>
      </w:r>
    </w:p>
    <w:p w14:paraId="79551751" w14:textId="77777777" w:rsidR="006B5E70" w:rsidRPr="00C5495D" w:rsidRDefault="006B5E70" w:rsidP="00C5495D">
      <w:pPr>
        <w:pStyle w:val="ListParagraph"/>
        <w:numPr>
          <w:ilvl w:val="0"/>
          <w:numId w:val="1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physician or medical provider or a clinically trained representative from the medical provider’s staff will deliver routine progress reports to the treatment court team describing the participant’s progress in treatment, including the information delineated above in Section V. Ideally, this information will be provided in person or by phone or videoconferencing during staff meetings but may, if necessary, be provided in written progress reports submitted in advance of staff meetings.</w:t>
      </w:r>
    </w:p>
    <w:p w14:paraId="506C8692" w14:textId="77777777" w:rsidR="006B5E70" w:rsidRPr="00C5495D" w:rsidRDefault="006B5E70" w:rsidP="00C5495D">
      <w:pPr>
        <w:pStyle w:val="ListParagraph"/>
        <w:numPr>
          <w:ilvl w:val="0"/>
          <w:numId w:val="1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Medical providers will agree to respond within 48 hours to questions or concerns by treatment court staff about participants’ apparent lack of responsiveness to the treatment plan, possible medication side effects, and suspected misuse or diversion of medication. Medical providers will respond as soon as practicable to any report of serious or life-threatening symptoms and will provide emergency instructions and contact information for emergency services to be used by the participant or treatment court staff in the event of a medical crisis.</w:t>
      </w:r>
    </w:p>
    <w:p w14:paraId="6E736A86" w14:textId="77777777" w:rsidR="006B5E70" w:rsidRPr="00C5495D" w:rsidRDefault="006B5E70" w:rsidP="00C5495D">
      <w:pPr>
        <w:pStyle w:val="ListParagraph"/>
        <w:numPr>
          <w:ilvl w:val="0"/>
          <w:numId w:val="1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Where permitted by law, the physician or medical provider will conduct PDMP inquiries at least every 90 days and report the results to the treatment court team [assuming treatment court staff are not authorized to conduct PDMP reports in the jurisdiction].</w:t>
      </w:r>
    </w:p>
    <w:p w14:paraId="5CCA8E90"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VIII.</w:t>
      </w:r>
      <w:r w:rsidRPr="006B5E70">
        <w:rPr>
          <w:rFonts w:ascii="Georgia" w:hAnsi="Georgia" w:cs="Georgia"/>
          <w:b/>
          <w:bCs/>
          <w:color w:val="000000"/>
          <w:sz w:val="20"/>
          <w:szCs w:val="20"/>
        </w:rPr>
        <w:tab/>
        <w:t>Complementary Services to Facilitate MOUD</w:t>
      </w:r>
    </w:p>
    <w:p w14:paraId="61CC1C20" w14:textId="77777777" w:rsidR="006B5E70" w:rsidRPr="00C5495D" w:rsidRDefault="006B5E70" w:rsidP="00C5495D">
      <w:pPr>
        <w:pStyle w:val="ListParagraph"/>
        <w:numPr>
          <w:ilvl w:val="0"/>
          <w:numId w:val="1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 xml:space="preserve">The prescribing physician or medical provider or a clinically trained member of the treatment court team will educate all participants in the treatment court (regardless of whether they are receiving MOUD) about precautions they can take to avoid or reverse a life-threatening drug overdose. This will include providing emergency phone numbers and crisis management instructions to follow in the event of an overdose or medical emergency.  </w:t>
      </w:r>
    </w:p>
    <w:p w14:paraId="6E5FF474" w14:textId="77777777" w:rsidR="006B5E70" w:rsidRPr="00C5495D" w:rsidRDefault="006B5E70" w:rsidP="00C5495D">
      <w:pPr>
        <w:pStyle w:val="ListParagraph"/>
        <w:numPr>
          <w:ilvl w:val="0"/>
          <w:numId w:val="1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prescribing physician or medical provider or a clinically trained member of the treatment court team will educate all participants in the treatment court (regardless of whether they are receiving MOUD) on the safe and effective administration of overdose-reversal medications such as naloxone hydrochloride (naloxone or Narcan). Where reasonably available and permitted by law, participants and their significant others will be provided intranasal naloxone kits and trained on their use.</w:t>
      </w:r>
    </w:p>
    <w:p w14:paraId="7231F781" w14:textId="77777777" w:rsidR="006B5E70" w:rsidRPr="00C5495D" w:rsidRDefault="006B5E70" w:rsidP="00C5495D">
      <w:pPr>
        <w:pStyle w:val="ListParagraph"/>
        <w:numPr>
          <w:ilvl w:val="0"/>
          <w:numId w:val="1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prescribing physician or medical provider or a clinically trained member of the treatment court team will educate family members and significant others of participants receiving MOUD about the efficacy and safety of MOUD, how it works, potential side effects to be aware of, and how to respond to those side effects and will work to dispel commonly held and stigmatizing beliefs about MOUD.</w:t>
      </w:r>
    </w:p>
    <w:p w14:paraId="01F10953" w14:textId="77777777" w:rsidR="006B5E70" w:rsidRPr="00C5495D" w:rsidRDefault="006B5E70" w:rsidP="00C5495D">
      <w:pPr>
        <w:pStyle w:val="ListParagraph"/>
        <w:numPr>
          <w:ilvl w:val="0"/>
          <w:numId w:val="1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 xml:space="preserve">The treatment court team will make all reasonable efforts to identify trained and credentialed peer mentors or peer recovery support specialists with lived experience related to substance use disorders, MOUD and justice system involvement who have abstained from illicit substance use and criminal activity for at least the previous three consecutive years. Where available, participants receiving MOUD will be paired with a peer mentor or recovery support specialist to help them navigate the health care system, adhere safely and responsibly to their MOUD regimen, attend scheduled appointments, and achieve successful long-term recovery. </w:t>
      </w:r>
    </w:p>
    <w:p w14:paraId="16FF7991" w14:textId="77777777" w:rsidR="006B5E70" w:rsidRPr="00C5495D" w:rsidRDefault="006B5E70" w:rsidP="00C5495D">
      <w:pPr>
        <w:pStyle w:val="ListParagraph"/>
        <w:numPr>
          <w:ilvl w:val="0"/>
          <w:numId w:val="1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treatment court team will make all reasonable efforts to identify peer-support or self-help recovery groups in the local community that are accepting of MOUD and will prepare participants to cope effectively with stigmatizing attitudes about MOUD that may emanate from members of the self-help community or other persons.</w:t>
      </w:r>
    </w:p>
    <w:p w14:paraId="61E75CEF" w14:textId="77777777" w:rsidR="006B5E70" w:rsidRPr="006B5E70" w:rsidRDefault="006B5E70" w:rsidP="006B5E70">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lastRenderedPageBreak/>
        <w:t>IX.</w:t>
      </w:r>
      <w:r w:rsidRPr="006B5E70">
        <w:rPr>
          <w:rFonts w:ascii="Georgia" w:hAnsi="Georgia" w:cs="Georgia"/>
          <w:b/>
          <w:bCs/>
          <w:color w:val="000000"/>
          <w:sz w:val="20"/>
          <w:szCs w:val="20"/>
        </w:rPr>
        <w:tab/>
        <w:t>Identifying Providers and Funding for MAT</w:t>
      </w:r>
    </w:p>
    <w:p w14:paraId="03E52295" w14:textId="77777777" w:rsidR="006B5E70" w:rsidRPr="00C5495D" w:rsidRDefault="006B5E70" w:rsidP="00C5495D">
      <w:pPr>
        <w:pStyle w:val="ListParagraph"/>
        <w:numPr>
          <w:ilvl w:val="0"/>
          <w:numId w:val="14"/>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treatment court team will make all reasonable efforts to identify competent and lawfully qualified MOUD providers in the local community, including querying online directories of medical providers and treatment agencies specializing in addiction medicine or addiction psychiatry, and reaching out to the single state agency for substance use treatment, state or county boards of health and medical societies, and local colleges, universities, and medical schools.</w:t>
      </w:r>
    </w:p>
    <w:p w14:paraId="086C54DF" w14:textId="77777777" w:rsidR="006B5E70" w:rsidRPr="00C5495D" w:rsidRDefault="006B5E70" w:rsidP="00C5495D">
      <w:pPr>
        <w:pStyle w:val="ListParagraph"/>
        <w:numPr>
          <w:ilvl w:val="0"/>
          <w:numId w:val="14"/>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Case managers or benefits assistants working with the treatment court will identify and help enroll participants eligible for Medicaid or other third-party reimbursement for MOUD.</w:t>
      </w:r>
    </w:p>
    <w:p w14:paraId="15DF4D2A" w14:textId="600FF2A2" w:rsidR="006B5E70" w:rsidRPr="00E872C1" w:rsidRDefault="006B5E70" w:rsidP="006B5E70">
      <w:pPr>
        <w:pStyle w:val="ListParagraph"/>
        <w:numPr>
          <w:ilvl w:val="0"/>
          <w:numId w:val="14"/>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5495D">
        <w:rPr>
          <w:rFonts w:ascii="Georgia" w:hAnsi="Georgia" w:cs="Georgia"/>
          <w:color w:val="000000"/>
          <w:sz w:val="20"/>
          <w:szCs w:val="20"/>
        </w:rPr>
        <w:t>The treatment court team will make all reasonable efforts to obtain grant or other external funding for MOUD if available, such as applying for funds from state block grants or appropriations, contacting federally qualified health centers (FQHCs) offering discounted medications for uninsured and low-income individuals, attempting to negotiate reduced-price medications from pharmaceutical companies, and reaching out to covered entities offering reduced medication rates for specified vulnerable populations under the federal 340B Drug Pricing Program.</w:t>
      </w:r>
    </w:p>
    <w:p w14:paraId="329FF929" w14:textId="77777777" w:rsidR="006B5E70" w:rsidRPr="006B5E70" w:rsidRDefault="006B5E70" w:rsidP="006B5E70">
      <w:pPr>
        <w:autoSpaceDE w:val="0"/>
        <w:autoSpaceDN w:val="0"/>
        <w:adjustRightInd w:val="0"/>
        <w:spacing w:before="180" w:after="0" w:line="260" w:lineRule="atLeast"/>
        <w:textAlignment w:val="center"/>
        <w:rPr>
          <w:rFonts w:ascii="Georgia" w:hAnsi="Georgia" w:cs="Georgia"/>
          <w:color w:val="000000"/>
          <w:sz w:val="20"/>
          <w:szCs w:val="20"/>
        </w:rPr>
      </w:pPr>
      <w:r w:rsidRPr="006B5E70">
        <w:rPr>
          <w:rFonts w:ascii="Georgia" w:hAnsi="Georgia" w:cs="Georgia"/>
          <w:b/>
          <w:bCs/>
          <w:i/>
          <w:iCs/>
          <w:color w:val="000000"/>
          <w:sz w:val="20"/>
          <w:szCs w:val="20"/>
        </w:rPr>
        <w:t xml:space="preserve">IN WITNESS HEREOF, </w:t>
      </w:r>
      <w:r w:rsidRPr="006B5E70">
        <w:rPr>
          <w:rFonts w:ascii="Georgia" w:hAnsi="Georgia" w:cs="Georgia"/>
          <w:color w:val="000000"/>
          <w:sz w:val="20"/>
          <w:szCs w:val="20"/>
        </w:rPr>
        <w:t xml:space="preserve">duly authorized representatives of the partnering agencies of the </w:t>
      </w:r>
      <w:r w:rsidRPr="006B5E70">
        <w:rPr>
          <w:rFonts w:ascii="Georgia" w:hAnsi="Georgia" w:cs="Georgia"/>
          <w:color w:val="000000"/>
          <w:spacing w:val="-16"/>
          <w:sz w:val="20"/>
          <w:szCs w:val="20"/>
        </w:rPr>
        <w:t>_____________</w:t>
      </w:r>
      <w:r w:rsidRPr="006B5E70">
        <w:rPr>
          <w:rFonts w:ascii="Georgia" w:hAnsi="Georgia" w:cs="Georgia"/>
          <w:color w:val="000000"/>
          <w:sz w:val="20"/>
          <w:szCs w:val="20"/>
        </w:rPr>
        <w:t xml:space="preserve"> Treatment Court have set their signatures and endorsement of the terms of this Agreement:</w:t>
      </w:r>
    </w:p>
    <w:p w14:paraId="2B64E258" w14:textId="77777777" w:rsidR="00C5495D" w:rsidRDefault="00C5495D" w:rsidP="00C5495D">
      <w:pPr>
        <w:tabs>
          <w:tab w:val="left" w:pos="6980"/>
        </w:tabs>
        <w:autoSpaceDE w:val="0"/>
        <w:autoSpaceDN w:val="0"/>
        <w:adjustRightInd w:val="0"/>
        <w:snapToGrid w:val="0"/>
        <w:spacing w:before="240" w:after="0"/>
        <w:textAlignment w:val="center"/>
        <w:rPr>
          <w:rFonts w:ascii="Georgia" w:hAnsi="Georgia" w:cs="Georgia"/>
          <w:color w:val="000000"/>
          <w:sz w:val="20"/>
          <w:szCs w:val="20"/>
        </w:rPr>
      </w:pPr>
    </w:p>
    <w:p w14:paraId="46A809DF"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3E265683" w14:textId="1CCD5E40"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Presiding Judge and/or Treatment Court Judge</w:t>
      </w:r>
      <w:r w:rsidR="0031685F">
        <w:rPr>
          <w:rFonts w:ascii="Georgia" w:hAnsi="Georgia" w:cs="Georgia"/>
          <w:color w:val="000000"/>
          <w:sz w:val="20"/>
          <w:szCs w:val="20"/>
        </w:rPr>
        <w:tab/>
      </w:r>
      <w:r w:rsidRPr="006B5E70">
        <w:rPr>
          <w:rFonts w:ascii="Georgia" w:hAnsi="Georgia" w:cs="Georgia"/>
          <w:color w:val="000000"/>
          <w:sz w:val="20"/>
          <w:szCs w:val="20"/>
        </w:rPr>
        <w:t>Date</w:t>
      </w:r>
    </w:p>
    <w:p w14:paraId="45727BDF" w14:textId="77777777" w:rsidR="0031685F" w:rsidRDefault="0031685F"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5FD1B767" w14:textId="20DC4A7C"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Treatment Court Coordinator</w:t>
      </w:r>
      <w:r w:rsidR="0031685F">
        <w:rPr>
          <w:rFonts w:ascii="Georgia" w:hAnsi="Georgia" w:cs="Georgia"/>
          <w:color w:val="000000"/>
          <w:sz w:val="20"/>
          <w:szCs w:val="20"/>
        </w:rPr>
        <w:tab/>
      </w:r>
      <w:r w:rsidRPr="006B5E70">
        <w:rPr>
          <w:rFonts w:ascii="Georgia" w:hAnsi="Georgia" w:cs="Georgia"/>
          <w:color w:val="000000"/>
          <w:sz w:val="20"/>
          <w:szCs w:val="20"/>
        </w:rPr>
        <w:t>Date</w:t>
      </w:r>
    </w:p>
    <w:p w14:paraId="30F6752C"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0B75E621" w14:textId="378F98D6"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Prosecution Representative</w:t>
      </w:r>
      <w:r w:rsidR="0031685F">
        <w:rPr>
          <w:rFonts w:ascii="Georgia" w:hAnsi="Georgia" w:cs="Georgia"/>
          <w:color w:val="000000"/>
          <w:sz w:val="20"/>
          <w:szCs w:val="20"/>
        </w:rPr>
        <w:tab/>
      </w:r>
      <w:r w:rsidRPr="006B5E70">
        <w:rPr>
          <w:rFonts w:ascii="Georgia" w:hAnsi="Georgia" w:cs="Georgia"/>
          <w:color w:val="000000"/>
          <w:sz w:val="20"/>
          <w:szCs w:val="20"/>
        </w:rPr>
        <w:t>Date</w:t>
      </w:r>
    </w:p>
    <w:p w14:paraId="79F9E568"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450A2F31" w14:textId="1D07E8BC"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Defense Counsel Representative(s)</w:t>
      </w:r>
      <w:r w:rsidR="0031685F">
        <w:rPr>
          <w:rFonts w:ascii="Georgia" w:hAnsi="Georgia" w:cs="Georgia"/>
          <w:color w:val="000000"/>
          <w:sz w:val="20"/>
          <w:szCs w:val="20"/>
        </w:rPr>
        <w:tab/>
      </w:r>
      <w:r w:rsidRPr="006B5E70">
        <w:rPr>
          <w:rFonts w:ascii="Georgia" w:hAnsi="Georgia" w:cs="Georgia"/>
          <w:color w:val="000000"/>
          <w:sz w:val="20"/>
          <w:szCs w:val="20"/>
        </w:rPr>
        <w:t>Date</w:t>
      </w:r>
    </w:p>
    <w:p w14:paraId="02E2D17A"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32C15546" w14:textId="77777777"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Probation Department Representative</w:t>
      </w:r>
      <w:r w:rsidRPr="006B5E70">
        <w:rPr>
          <w:rFonts w:ascii="Georgia" w:hAnsi="Georgia" w:cs="Georgia"/>
          <w:color w:val="000000"/>
          <w:sz w:val="20"/>
          <w:szCs w:val="20"/>
        </w:rPr>
        <w:tab/>
        <w:t>Date</w:t>
      </w:r>
    </w:p>
    <w:p w14:paraId="528AF130"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3DF13C8A" w14:textId="77777777"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Dept. of Human Services or Treatment Agency(</w:t>
      </w:r>
      <w:proofErr w:type="spellStart"/>
      <w:r w:rsidRPr="006B5E70">
        <w:rPr>
          <w:rFonts w:ascii="Georgia" w:hAnsi="Georgia" w:cs="Georgia"/>
          <w:color w:val="000000"/>
          <w:sz w:val="20"/>
          <w:szCs w:val="20"/>
        </w:rPr>
        <w:t>ies</w:t>
      </w:r>
      <w:proofErr w:type="spellEnd"/>
      <w:r w:rsidRPr="006B5E70">
        <w:rPr>
          <w:rFonts w:ascii="Georgia" w:hAnsi="Georgia" w:cs="Georgia"/>
          <w:color w:val="000000"/>
          <w:sz w:val="20"/>
          <w:szCs w:val="20"/>
        </w:rPr>
        <w:t>) Representative(s)</w:t>
      </w:r>
      <w:r w:rsidRPr="006B5E70">
        <w:rPr>
          <w:rFonts w:ascii="Georgia" w:hAnsi="Georgia" w:cs="Georgia"/>
          <w:color w:val="000000"/>
          <w:sz w:val="20"/>
          <w:szCs w:val="20"/>
        </w:rPr>
        <w:tab/>
        <w:t>Date</w:t>
      </w:r>
    </w:p>
    <w:p w14:paraId="37539D4D"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4DC41CCB" w14:textId="73E9C293" w:rsidR="00C5495D"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Law Enforcement or Sheriff’s Dept. Representative</w:t>
      </w:r>
      <w:r w:rsidRPr="006B5E70">
        <w:rPr>
          <w:rFonts w:ascii="Georgia" w:hAnsi="Georgia" w:cs="Georgia"/>
          <w:color w:val="000000"/>
          <w:sz w:val="20"/>
          <w:szCs w:val="20"/>
        </w:rPr>
        <w:tab/>
        <w:t>Date</w:t>
      </w:r>
    </w:p>
    <w:p w14:paraId="1DC65BCE" w14:textId="6DB11802"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p>
    <w:p w14:paraId="04DAFD7D" w14:textId="70ED3FD1" w:rsidR="006F590D" w:rsidRPr="006B5E70" w:rsidRDefault="006B5E70" w:rsidP="0031685F">
      <w:pPr>
        <w:snapToGrid w:val="0"/>
        <w:spacing w:before="120" w:after="0"/>
      </w:pPr>
      <w:r w:rsidRPr="006B5E70">
        <w:rPr>
          <w:rFonts w:ascii="Georgia" w:hAnsi="Georgia" w:cs="Georgia"/>
          <w:color w:val="000000"/>
          <w:sz w:val="20"/>
          <w:szCs w:val="20"/>
        </w:rPr>
        <w:t>OTHER PARTIES AS INDICATED</w:t>
      </w:r>
    </w:p>
    <w:p w14:paraId="201B0C04" w14:textId="77777777" w:rsidR="00E872C1" w:rsidRPr="006B5E70" w:rsidRDefault="00E872C1">
      <w:pPr>
        <w:snapToGrid w:val="0"/>
        <w:spacing w:before="120" w:after="0"/>
      </w:pPr>
    </w:p>
    <w:sectPr w:rsidR="00E872C1" w:rsidRPr="006B5E70" w:rsidSect="00CE6288">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0C6C" w14:textId="77777777" w:rsidR="0005367A" w:rsidRDefault="0005367A" w:rsidP="00E95715">
      <w:pPr>
        <w:spacing w:after="0" w:line="240" w:lineRule="auto"/>
      </w:pPr>
      <w:r>
        <w:separator/>
      </w:r>
    </w:p>
    <w:p w14:paraId="698E7721" w14:textId="77777777" w:rsidR="0005367A" w:rsidRDefault="0005367A"/>
  </w:endnote>
  <w:endnote w:type="continuationSeparator" w:id="0">
    <w:p w14:paraId="6FB79F70" w14:textId="77777777" w:rsidR="0005367A" w:rsidRDefault="0005367A" w:rsidP="00E95715">
      <w:pPr>
        <w:spacing w:after="0" w:line="240" w:lineRule="auto"/>
      </w:pPr>
      <w:r>
        <w:continuationSeparator/>
      </w:r>
    </w:p>
    <w:p w14:paraId="726C8DD6" w14:textId="77777777" w:rsidR="0005367A" w:rsidRDefault="0005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195544"/>
      <w:docPartObj>
        <w:docPartGallery w:val="Page Numbers (Bottom of Page)"/>
        <w:docPartUnique/>
      </w:docPartObj>
    </w:sdtPr>
    <w:sdtEndPr>
      <w:rPr>
        <w:rStyle w:val="PageNumber"/>
      </w:rPr>
    </w:sdtEndPr>
    <w:sdtContent>
      <w:p w14:paraId="3FEA3031" w14:textId="566F9279" w:rsidR="00E95715" w:rsidRDefault="00E95715" w:rsidP="00FC4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BB6D" w14:textId="77777777" w:rsidR="00E95715" w:rsidRDefault="00E95715">
    <w:pPr>
      <w:pStyle w:val="Footer"/>
    </w:pPr>
  </w:p>
  <w:p w14:paraId="4263F1A7" w14:textId="77777777" w:rsidR="0007709B" w:rsidRDefault="0007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291941358"/>
      <w:docPartObj>
        <w:docPartGallery w:val="Page Numbers (Bottom of Page)"/>
        <w:docPartUnique/>
      </w:docPartObj>
    </w:sdtPr>
    <w:sdtContent>
      <w:p w14:paraId="1442441F" w14:textId="7E4768A1" w:rsidR="00FC4DEE" w:rsidRPr="00FC4DEE" w:rsidRDefault="00FC4DEE" w:rsidP="00BF7B00">
        <w:pPr>
          <w:pStyle w:val="Footer"/>
          <w:framePr w:wrap="none" w:vAnchor="text" w:hAnchor="margin" w:xAlign="center" w:y="1"/>
          <w:rPr>
            <w:rStyle w:val="PageNumber"/>
            <w:sz w:val="18"/>
            <w:szCs w:val="18"/>
          </w:rPr>
        </w:pPr>
        <w:r w:rsidRPr="00FC4DEE">
          <w:rPr>
            <w:rStyle w:val="PageNumber"/>
            <w:sz w:val="18"/>
            <w:szCs w:val="18"/>
          </w:rPr>
          <w:fldChar w:fldCharType="begin"/>
        </w:r>
        <w:r w:rsidRPr="00FC4DEE">
          <w:rPr>
            <w:rStyle w:val="PageNumber"/>
            <w:sz w:val="18"/>
            <w:szCs w:val="18"/>
          </w:rPr>
          <w:instrText xml:space="preserve"> PAGE </w:instrText>
        </w:r>
        <w:r w:rsidRPr="00FC4DEE">
          <w:rPr>
            <w:rStyle w:val="PageNumber"/>
            <w:sz w:val="18"/>
            <w:szCs w:val="18"/>
          </w:rPr>
          <w:fldChar w:fldCharType="separate"/>
        </w:r>
        <w:r w:rsidRPr="00FC4DEE">
          <w:rPr>
            <w:rStyle w:val="PageNumber"/>
            <w:noProof/>
            <w:sz w:val="18"/>
            <w:szCs w:val="18"/>
          </w:rPr>
          <w:t>1</w:t>
        </w:r>
        <w:r w:rsidRPr="00FC4DEE">
          <w:rPr>
            <w:rStyle w:val="PageNumber"/>
            <w:sz w:val="18"/>
            <w:szCs w:val="18"/>
          </w:rPr>
          <w:fldChar w:fldCharType="end"/>
        </w:r>
      </w:p>
    </w:sdtContent>
  </w:sdt>
  <w:p w14:paraId="18198245" w14:textId="77777777" w:rsidR="0007709B" w:rsidRDefault="0007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8C9E" w14:textId="77777777" w:rsidR="0005367A" w:rsidRDefault="0005367A" w:rsidP="00E95715">
      <w:pPr>
        <w:spacing w:after="0" w:line="240" w:lineRule="auto"/>
      </w:pPr>
      <w:r>
        <w:separator/>
      </w:r>
    </w:p>
    <w:p w14:paraId="39135A79" w14:textId="77777777" w:rsidR="0005367A" w:rsidRDefault="0005367A"/>
  </w:footnote>
  <w:footnote w:type="continuationSeparator" w:id="0">
    <w:p w14:paraId="4BA61B8F" w14:textId="77777777" w:rsidR="0005367A" w:rsidRDefault="0005367A" w:rsidP="00E95715">
      <w:pPr>
        <w:spacing w:after="0" w:line="240" w:lineRule="auto"/>
      </w:pPr>
      <w:r>
        <w:continuationSeparator/>
      </w:r>
    </w:p>
    <w:p w14:paraId="3E7C2C11" w14:textId="77777777" w:rsidR="0005367A" w:rsidRDefault="0005367A"/>
  </w:footnote>
  <w:footnote w:id="1">
    <w:p w14:paraId="12DDD363" w14:textId="77777777" w:rsidR="00AB0B09" w:rsidRPr="00AB0B09" w:rsidRDefault="00AB0B09" w:rsidP="005D516F">
      <w:pPr>
        <w:pStyle w:val="Lettertemplatebody"/>
        <w:spacing w:before="0" w:line="240" w:lineRule="auto"/>
        <w:rPr>
          <w:color w:val="009ADE"/>
          <w:sz w:val="14"/>
          <w:szCs w:val="14"/>
        </w:rPr>
      </w:pPr>
      <w:r>
        <w:rPr>
          <w:rStyle w:val="FootnoteReference"/>
        </w:rPr>
        <w:footnoteRef/>
      </w:r>
      <w:r>
        <w:t xml:space="preserve"> </w:t>
      </w:r>
      <w:r w:rsidRPr="00AB0B09">
        <w:rPr>
          <w:i/>
          <w:iCs/>
          <w:sz w:val="14"/>
          <w:szCs w:val="14"/>
        </w:rPr>
        <w:t>See.,</w:t>
      </w:r>
      <w:r w:rsidRPr="00AB0B09">
        <w:rPr>
          <w:sz w:val="14"/>
          <w:szCs w:val="14"/>
        </w:rPr>
        <w:t xml:space="preserve"> e.g., Substance Abuse and Mental Health Services Administration. (2019). </w:t>
      </w:r>
      <w:r w:rsidRPr="00AB0B09">
        <w:rPr>
          <w:i/>
          <w:iCs/>
          <w:sz w:val="14"/>
          <w:szCs w:val="14"/>
        </w:rPr>
        <w:t>Use of medication-assisted treatment for opioid use disorder in criminal justice settings</w:t>
      </w:r>
      <w:r w:rsidRPr="00AB0B09">
        <w:rPr>
          <w:sz w:val="14"/>
          <w:szCs w:val="14"/>
        </w:rPr>
        <w:t xml:space="preserve"> (HHS Pub. No. PEP19-MATUSECJS). </w:t>
      </w:r>
      <w:r w:rsidRPr="00AB0B09">
        <w:rPr>
          <w:color w:val="009ADE"/>
          <w:sz w:val="14"/>
          <w:szCs w:val="14"/>
        </w:rPr>
        <w:fldChar w:fldCharType="begin"/>
      </w:r>
      <w:r w:rsidRPr="00AB0B09">
        <w:rPr>
          <w:color w:val="009ADE"/>
          <w:sz w:val="14"/>
          <w:szCs w:val="14"/>
        </w:rPr>
        <w:instrText>HYPERLINK "https://www.samhsa.gov/resource/ebp/use-medication-assisted-treatment-opioid-use-disorder-criminal-justice-settings"</w:instrText>
      </w:r>
      <w:r w:rsidRPr="00AB0B09">
        <w:rPr>
          <w:color w:val="009ADE"/>
          <w:sz w:val="14"/>
          <w:szCs w:val="14"/>
        </w:rPr>
      </w:r>
      <w:r w:rsidRPr="00AB0B09">
        <w:rPr>
          <w:color w:val="009ADE"/>
          <w:sz w:val="14"/>
          <w:szCs w:val="14"/>
        </w:rPr>
        <w:fldChar w:fldCharType="separate"/>
      </w:r>
      <w:r w:rsidRPr="00AB0B09">
        <w:rPr>
          <w:color w:val="009ADE"/>
          <w:sz w:val="14"/>
          <w:szCs w:val="14"/>
        </w:rPr>
        <w:t>https://www.samhsa.gov/resource/ebp/use-medication-assisted-treatment-opioid-use-disorder-criminal-justice-settings</w:t>
      </w:r>
    </w:p>
    <w:p w14:paraId="06B5316B" w14:textId="63034186" w:rsidR="00AB0B09" w:rsidRDefault="00AB0B09" w:rsidP="005D516F">
      <w:pPr>
        <w:pStyle w:val="FootnoteText"/>
        <w:spacing w:line="240" w:lineRule="auto"/>
      </w:pPr>
      <w:r w:rsidRPr="00AB0B09">
        <w:rPr>
          <w:rFonts w:ascii="Georgia" w:hAnsi="Georgia" w:cs="Georgia"/>
          <w:color w:val="009ADE"/>
          <w:sz w:val="14"/>
          <w:szCs w:val="14"/>
        </w:rPr>
        <w:fldChar w:fldCharType="end"/>
      </w:r>
    </w:p>
  </w:footnote>
  <w:footnote w:id="2">
    <w:p w14:paraId="0429A803" w14:textId="77777777" w:rsidR="005D516F" w:rsidRPr="005D516F" w:rsidRDefault="005D516F" w:rsidP="005D516F">
      <w:pPr>
        <w:pStyle w:val="Lettertemplatebody"/>
        <w:spacing w:line="240" w:lineRule="auto"/>
        <w:rPr>
          <w:color w:val="009ADE"/>
          <w:sz w:val="14"/>
          <w:szCs w:val="14"/>
        </w:rPr>
      </w:pPr>
      <w:r>
        <w:rPr>
          <w:rStyle w:val="FootnoteReference"/>
        </w:rPr>
        <w:footnoteRef/>
      </w:r>
      <w:r>
        <w:t xml:space="preserve"> </w:t>
      </w:r>
      <w:r w:rsidRPr="005D516F">
        <w:rPr>
          <w:i/>
          <w:iCs/>
          <w:sz w:val="14"/>
          <w:szCs w:val="14"/>
        </w:rPr>
        <w:t>See</w:t>
      </w:r>
      <w:r w:rsidRPr="005D516F">
        <w:rPr>
          <w:sz w:val="14"/>
          <w:szCs w:val="14"/>
        </w:rPr>
        <w:t xml:space="preserve"> National Association of Drug Court Professionals. (2013). </w:t>
      </w:r>
      <w:r w:rsidRPr="005D516F">
        <w:rPr>
          <w:i/>
          <w:iCs/>
          <w:sz w:val="14"/>
          <w:szCs w:val="14"/>
        </w:rPr>
        <w:t xml:space="preserve">Adult Drug Court Best Practice Standards </w:t>
      </w:r>
      <w:r w:rsidRPr="005D516F">
        <w:rPr>
          <w:sz w:val="14"/>
          <w:szCs w:val="14"/>
        </w:rPr>
        <w:t>(Vol. I-Text Revision).</w:t>
      </w:r>
      <w:r w:rsidRPr="005D516F">
        <w:rPr>
          <w:color w:val="009ADE"/>
          <w:sz w:val="14"/>
          <w:szCs w:val="14"/>
        </w:rPr>
        <w:fldChar w:fldCharType="begin"/>
      </w:r>
      <w:r w:rsidRPr="005D516F">
        <w:rPr>
          <w:color w:val="009ADE"/>
          <w:sz w:val="14"/>
          <w:szCs w:val="14"/>
        </w:rPr>
        <w:instrText>HYPERLINK "https://www.nadcp.org/standards/adult-drug-court-best-practice-standards/"</w:instrText>
      </w:r>
      <w:r w:rsidRPr="005D516F">
        <w:rPr>
          <w:color w:val="009ADE"/>
          <w:sz w:val="14"/>
          <w:szCs w:val="14"/>
        </w:rPr>
      </w:r>
      <w:r w:rsidRPr="005D516F">
        <w:rPr>
          <w:color w:val="009ADE"/>
          <w:sz w:val="14"/>
          <w:szCs w:val="14"/>
        </w:rPr>
        <w:fldChar w:fldCharType="separate"/>
      </w:r>
      <w:r w:rsidRPr="005D516F">
        <w:rPr>
          <w:color w:val="009ADE"/>
          <w:sz w:val="14"/>
          <w:szCs w:val="14"/>
        </w:rPr>
        <w:t xml:space="preserve"> https://www.nadcp.org/standards/adult-drug-court-best-practice-standards/</w:t>
      </w:r>
    </w:p>
    <w:p w14:paraId="37B9B10B" w14:textId="4D1F1E75" w:rsidR="005D516F" w:rsidRDefault="005D516F" w:rsidP="005D516F">
      <w:pPr>
        <w:pStyle w:val="FootnoteText"/>
        <w:spacing w:line="240" w:lineRule="auto"/>
      </w:pPr>
      <w:r w:rsidRPr="005D516F">
        <w:rPr>
          <w:rFonts w:ascii="Georgia" w:hAnsi="Georgia" w:cs="Georgia"/>
          <w:color w:val="009ADE"/>
          <w:sz w:val="14"/>
          <w:szCs w:val="14"/>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567"/>
    <w:multiLevelType w:val="hybridMultilevel"/>
    <w:tmpl w:val="0E309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3572"/>
    <w:multiLevelType w:val="hybridMultilevel"/>
    <w:tmpl w:val="31D2B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24770"/>
    <w:multiLevelType w:val="hybridMultilevel"/>
    <w:tmpl w:val="4560C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1AA7"/>
    <w:multiLevelType w:val="multilevel"/>
    <w:tmpl w:val="DF042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075C1D"/>
    <w:multiLevelType w:val="hybridMultilevel"/>
    <w:tmpl w:val="09EC0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D7936"/>
    <w:multiLevelType w:val="multilevel"/>
    <w:tmpl w:val="6B68D9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27AF8"/>
    <w:multiLevelType w:val="hybridMultilevel"/>
    <w:tmpl w:val="C0CA8B10"/>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176D9"/>
    <w:multiLevelType w:val="hybridMultilevel"/>
    <w:tmpl w:val="5DF60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366E2"/>
    <w:multiLevelType w:val="hybridMultilevel"/>
    <w:tmpl w:val="9824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F47CE"/>
    <w:multiLevelType w:val="hybridMultilevel"/>
    <w:tmpl w:val="E202F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41FF6"/>
    <w:multiLevelType w:val="hybridMultilevel"/>
    <w:tmpl w:val="CC72C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13C1D"/>
    <w:multiLevelType w:val="hybridMultilevel"/>
    <w:tmpl w:val="C41E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E3D46"/>
    <w:multiLevelType w:val="hybridMultilevel"/>
    <w:tmpl w:val="9DF2FB0A"/>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A6114"/>
    <w:multiLevelType w:val="hybridMultilevel"/>
    <w:tmpl w:val="19B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5"/>
  </w:num>
  <w:num w:numId="5">
    <w:abstractNumId w:val="6"/>
  </w:num>
  <w:num w:numId="6">
    <w:abstractNumId w:val="13"/>
  </w:num>
  <w:num w:numId="7">
    <w:abstractNumId w:val="8"/>
  </w:num>
  <w:num w:numId="8">
    <w:abstractNumId w:val="7"/>
  </w:num>
  <w:num w:numId="9">
    <w:abstractNumId w:val="2"/>
  </w:num>
  <w:num w:numId="10">
    <w:abstractNumId w:val="4"/>
  </w:num>
  <w:num w:numId="11">
    <w:abstractNumId w:val="0"/>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5"/>
    <w:rsid w:val="0005367A"/>
    <w:rsid w:val="0007709B"/>
    <w:rsid w:val="0031685F"/>
    <w:rsid w:val="005D516F"/>
    <w:rsid w:val="00632FAF"/>
    <w:rsid w:val="006B5E70"/>
    <w:rsid w:val="006F590D"/>
    <w:rsid w:val="007A79CD"/>
    <w:rsid w:val="008C4C7A"/>
    <w:rsid w:val="00992446"/>
    <w:rsid w:val="00AB0B09"/>
    <w:rsid w:val="00C5495D"/>
    <w:rsid w:val="00CE6288"/>
    <w:rsid w:val="00D95956"/>
    <w:rsid w:val="00E872C1"/>
    <w:rsid w:val="00E95715"/>
    <w:rsid w:val="00EA442E"/>
    <w:rsid w:val="00EE34D8"/>
    <w:rsid w:val="00F26C21"/>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23A"/>
  <w15:chartTrackingRefBased/>
  <w15:docId w15:val="{AEF5D081-7AD8-0B47-823F-A099208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15"/>
    <w:pPr>
      <w:tabs>
        <w:tab w:val="center" w:pos="4680"/>
        <w:tab w:val="right" w:pos="9360"/>
      </w:tabs>
    </w:pPr>
  </w:style>
  <w:style w:type="character" w:customStyle="1" w:styleId="HeaderChar">
    <w:name w:val="Header Char"/>
    <w:basedOn w:val="DefaultParagraphFont"/>
    <w:link w:val="Header"/>
    <w:uiPriority w:val="99"/>
    <w:rsid w:val="00E95715"/>
  </w:style>
  <w:style w:type="paragraph" w:styleId="Footer">
    <w:name w:val="footer"/>
    <w:basedOn w:val="Normal"/>
    <w:link w:val="FooterChar"/>
    <w:uiPriority w:val="99"/>
    <w:unhideWhenUsed/>
    <w:rsid w:val="00E95715"/>
    <w:pPr>
      <w:tabs>
        <w:tab w:val="center" w:pos="4680"/>
        <w:tab w:val="right" w:pos="9360"/>
      </w:tabs>
    </w:pPr>
  </w:style>
  <w:style w:type="character" w:customStyle="1" w:styleId="FooterChar">
    <w:name w:val="Footer Char"/>
    <w:basedOn w:val="DefaultParagraphFont"/>
    <w:link w:val="Footer"/>
    <w:uiPriority w:val="99"/>
    <w:rsid w:val="00E95715"/>
  </w:style>
  <w:style w:type="character" w:styleId="PageNumber">
    <w:name w:val="page number"/>
    <w:basedOn w:val="DefaultParagraphFont"/>
    <w:uiPriority w:val="99"/>
    <w:semiHidden/>
    <w:unhideWhenUsed/>
    <w:rsid w:val="00E95715"/>
  </w:style>
  <w:style w:type="paragraph" w:styleId="EndnoteText">
    <w:name w:val="endnote text"/>
    <w:basedOn w:val="Normal"/>
    <w:link w:val="EndnoteTextChar"/>
    <w:uiPriority w:val="99"/>
    <w:semiHidden/>
    <w:unhideWhenUsed/>
    <w:rsid w:val="00D95956"/>
    <w:rPr>
      <w:sz w:val="20"/>
      <w:szCs w:val="20"/>
    </w:rPr>
  </w:style>
  <w:style w:type="character" w:customStyle="1" w:styleId="EndnoteTextChar">
    <w:name w:val="Endnote Text Char"/>
    <w:basedOn w:val="DefaultParagraphFont"/>
    <w:link w:val="EndnoteText"/>
    <w:uiPriority w:val="99"/>
    <w:semiHidden/>
    <w:rsid w:val="00D95956"/>
    <w:rPr>
      <w:sz w:val="20"/>
      <w:szCs w:val="20"/>
    </w:rPr>
  </w:style>
  <w:style w:type="character" w:styleId="EndnoteReference">
    <w:name w:val="endnote reference"/>
    <w:basedOn w:val="DefaultParagraphFont"/>
    <w:uiPriority w:val="99"/>
    <w:semiHidden/>
    <w:unhideWhenUsed/>
    <w:rsid w:val="00D95956"/>
    <w:rPr>
      <w:vertAlign w:val="superscript"/>
    </w:rPr>
  </w:style>
  <w:style w:type="paragraph" w:styleId="FootnoteText">
    <w:name w:val="footnote text"/>
    <w:basedOn w:val="Normal"/>
    <w:link w:val="FootnoteTextChar"/>
    <w:uiPriority w:val="99"/>
    <w:semiHidden/>
    <w:unhideWhenUsed/>
    <w:rsid w:val="00D95956"/>
    <w:rPr>
      <w:sz w:val="20"/>
      <w:szCs w:val="20"/>
    </w:rPr>
  </w:style>
  <w:style w:type="character" w:customStyle="1" w:styleId="FootnoteTextChar">
    <w:name w:val="Footnote Text Char"/>
    <w:basedOn w:val="DefaultParagraphFont"/>
    <w:link w:val="FootnoteText"/>
    <w:uiPriority w:val="99"/>
    <w:semiHidden/>
    <w:rsid w:val="00D95956"/>
    <w:rPr>
      <w:sz w:val="20"/>
      <w:szCs w:val="20"/>
    </w:rPr>
  </w:style>
  <w:style w:type="character" w:styleId="FootnoteReference">
    <w:name w:val="footnote reference"/>
    <w:basedOn w:val="DefaultParagraphFont"/>
    <w:uiPriority w:val="99"/>
    <w:semiHidden/>
    <w:unhideWhenUsed/>
    <w:rsid w:val="00D95956"/>
    <w:rPr>
      <w:vertAlign w:val="superscript"/>
    </w:rPr>
  </w:style>
  <w:style w:type="paragraph" w:customStyle="1" w:styleId="Lettertemplatebody">
    <w:name w:val="Letter template body"/>
    <w:basedOn w:val="Normal"/>
    <w:uiPriority w:val="99"/>
    <w:rsid w:val="00D95956"/>
    <w:pPr>
      <w:autoSpaceDE w:val="0"/>
      <w:autoSpaceDN w:val="0"/>
      <w:adjustRightInd w:val="0"/>
      <w:spacing w:before="180" w:line="260" w:lineRule="atLeast"/>
      <w:textAlignment w:val="center"/>
    </w:pPr>
    <w:rPr>
      <w:rFonts w:ascii="Georgia" w:hAnsi="Georgia" w:cs="Georgia"/>
      <w:color w:val="000000"/>
      <w:sz w:val="20"/>
      <w:szCs w:val="20"/>
    </w:rPr>
  </w:style>
  <w:style w:type="paragraph" w:styleId="ListParagraph">
    <w:name w:val="List Paragraph"/>
    <w:basedOn w:val="Normal"/>
    <w:uiPriority w:val="34"/>
    <w:qFormat/>
    <w:rsid w:val="00AB0B09"/>
    <w:pPr>
      <w:ind w:left="720"/>
      <w:contextualSpacing/>
    </w:pPr>
  </w:style>
  <w:style w:type="character" w:styleId="Hyperlink">
    <w:name w:val="Hyperlink"/>
    <w:basedOn w:val="DefaultParagraphFont"/>
    <w:uiPriority w:val="99"/>
    <w:unhideWhenUsed/>
    <w:rsid w:val="00AB0B09"/>
    <w:rPr>
      <w:color w:val="0563C1" w:themeColor="hyperlink"/>
      <w:u w:val="single"/>
    </w:rPr>
  </w:style>
  <w:style w:type="character" w:styleId="UnresolvedMention">
    <w:name w:val="Unresolved Mention"/>
    <w:basedOn w:val="DefaultParagraphFont"/>
    <w:uiPriority w:val="99"/>
    <w:semiHidden/>
    <w:unhideWhenUsed/>
    <w:rsid w:val="00AB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995F-EF01-A64E-9055-EDD3B312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Gloria Vestal</cp:lastModifiedBy>
  <cp:revision>15</cp:revision>
  <dcterms:created xsi:type="dcterms:W3CDTF">2021-04-15T15:04:00Z</dcterms:created>
  <dcterms:modified xsi:type="dcterms:W3CDTF">2021-04-15T16:03:00Z</dcterms:modified>
</cp:coreProperties>
</file>